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475BA0B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60D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A05F867" w:rsidR="000B57EF" w:rsidRPr="00D82A2C" w:rsidRDefault="002A1392" w:rsidP="002A139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117779158"/>
            <w:r w:rsidRP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Ultomiris (rawulizumab)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60DC8" w:rsidRPr="00760D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nocnej napadowej hemoglobinurii (PNH) ICD-10 D59.5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48D47F08" w:rsidR="00E35889" w:rsidRDefault="002A1392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A1392">
        <w:rPr>
          <w:rStyle w:val="NAGZnak"/>
          <w:b w:val="0"/>
          <w:kern w:val="32"/>
          <w:sz w:val="20"/>
          <w:szCs w:val="20"/>
        </w:rPr>
        <w:t xml:space="preserve">Ultomiris (rawulizumab) </w:t>
      </w:r>
      <w:r w:rsidR="00760DC8" w:rsidRPr="00760DC8">
        <w:rPr>
          <w:rStyle w:val="NAGZnak"/>
          <w:b w:val="0"/>
          <w:kern w:val="32"/>
          <w:sz w:val="20"/>
          <w:szCs w:val="20"/>
        </w:rPr>
        <w:t>w leczeniu nocnej napadowej hemoglobinurii (PNH) ICD-10 D59.5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1392"/>
    <w:rsid w:val="002A33D2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60DC8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15</cp:revision>
  <dcterms:created xsi:type="dcterms:W3CDTF">2022-01-19T16:01:00Z</dcterms:created>
  <dcterms:modified xsi:type="dcterms:W3CDTF">2022-10-27T14:07:00Z</dcterms:modified>
</cp:coreProperties>
</file>